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AF" w:rsidRPr="005731AF" w:rsidRDefault="005731AF" w:rsidP="005731AF">
      <w:pPr>
        <w:jc w:val="center"/>
        <w:rPr>
          <w:rFonts w:ascii="Century Gothic" w:hAnsi="Century Gothic"/>
          <w:b/>
          <w:sz w:val="24"/>
          <w:szCs w:val="24"/>
        </w:rPr>
      </w:pPr>
      <w:r w:rsidRPr="005731AF">
        <w:rPr>
          <w:rFonts w:ascii="Century Gothic" w:hAnsi="Century Gothic"/>
          <w:b/>
          <w:sz w:val="24"/>
          <w:szCs w:val="24"/>
        </w:rPr>
        <w:t xml:space="preserve">Argumentaire sur la taxe </w:t>
      </w:r>
      <w:proofErr w:type="spellStart"/>
      <w:r w:rsidRPr="005731AF">
        <w:rPr>
          <w:rFonts w:ascii="Century Gothic" w:hAnsi="Century Gothic"/>
          <w:b/>
          <w:sz w:val="24"/>
          <w:szCs w:val="24"/>
        </w:rPr>
        <w:t>Gémapi</w:t>
      </w:r>
      <w:proofErr w:type="spellEnd"/>
      <w:r w:rsidRPr="005731AF">
        <w:rPr>
          <w:rFonts w:ascii="Century Gothic" w:hAnsi="Century Gothic"/>
          <w:b/>
          <w:sz w:val="24"/>
          <w:szCs w:val="24"/>
        </w:rPr>
        <w:t> :</w:t>
      </w:r>
    </w:p>
    <w:p w:rsidR="005731AF" w:rsidRDefault="005731AF" w:rsidP="005731AF">
      <w:pPr>
        <w:jc w:val="both"/>
        <w:rPr>
          <w:rFonts w:ascii="Century Gothic" w:hAnsi="Century Gothic"/>
          <w:sz w:val="24"/>
          <w:szCs w:val="24"/>
        </w:rPr>
      </w:pPr>
    </w:p>
    <w:p w:rsidR="005731AF" w:rsidRDefault="005731AF" w:rsidP="005731AF">
      <w:pPr>
        <w:jc w:val="both"/>
        <w:rPr>
          <w:rFonts w:ascii="Century Gothic" w:hAnsi="Century Gothic"/>
          <w:sz w:val="24"/>
          <w:szCs w:val="24"/>
        </w:rPr>
      </w:pPr>
      <w:r w:rsidRPr="005731AF">
        <w:rPr>
          <w:rFonts w:ascii="Century Gothic" w:hAnsi="Century Gothic"/>
          <w:sz w:val="24"/>
          <w:szCs w:val="24"/>
        </w:rPr>
        <w:t xml:space="preserve">La sécurité des personnes et des habitants contre les inondations, mais également la pérennité de la vie économique et sociale du territoire font partie des préoccupations majeures de Troyes Champagne Métropole. </w:t>
      </w:r>
    </w:p>
    <w:p w:rsidR="006F6AEF" w:rsidRPr="005731AF" w:rsidRDefault="006F6AEF" w:rsidP="005731AF">
      <w:pPr>
        <w:jc w:val="both"/>
        <w:rPr>
          <w:rFonts w:ascii="Century Gothic" w:hAnsi="Century Gothic"/>
          <w:sz w:val="24"/>
          <w:szCs w:val="24"/>
        </w:rPr>
      </w:pPr>
    </w:p>
    <w:p w:rsidR="005731AF" w:rsidRDefault="006F6AEF" w:rsidP="005731AF">
      <w:pPr>
        <w:jc w:val="both"/>
        <w:rPr>
          <w:rFonts w:ascii="Century Gothic" w:hAnsi="Century Gothic"/>
          <w:sz w:val="24"/>
          <w:szCs w:val="24"/>
        </w:rPr>
      </w:pPr>
      <w:r>
        <w:rPr>
          <w:rFonts w:ascii="Century Gothic" w:hAnsi="Century Gothic"/>
          <w:sz w:val="24"/>
          <w:szCs w:val="24"/>
        </w:rPr>
        <w:t>D’autant plu</w:t>
      </w:r>
      <w:r w:rsidR="005731AF" w:rsidRPr="005731AF">
        <w:rPr>
          <w:rFonts w:ascii="Century Gothic" w:hAnsi="Century Gothic"/>
          <w:sz w:val="24"/>
          <w:szCs w:val="24"/>
        </w:rPr>
        <w:t xml:space="preserve">s </w:t>
      </w:r>
      <w:r>
        <w:rPr>
          <w:rFonts w:ascii="Century Gothic" w:hAnsi="Century Gothic"/>
          <w:sz w:val="24"/>
          <w:szCs w:val="24"/>
        </w:rPr>
        <w:t>que l</w:t>
      </w:r>
      <w:r w:rsidR="005731AF" w:rsidRPr="005731AF">
        <w:rPr>
          <w:rFonts w:ascii="Century Gothic" w:hAnsi="Century Gothic"/>
          <w:sz w:val="24"/>
          <w:szCs w:val="24"/>
        </w:rPr>
        <w:t xml:space="preserve">es inondations </w:t>
      </w:r>
      <w:r>
        <w:rPr>
          <w:rFonts w:ascii="Century Gothic" w:hAnsi="Century Gothic"/>
          <w:sz w:val="24"/>
          <w:szCs w:val="24"/>
        </w:rPr>
        <w:t xml:space="preserve">ne </w:t>
      </w:r>
      <w:r w:rsidR="005731AF" w:rsidRPr="005731AF">
        <w:rPr>
          <w:rFonts w:ascii="Century Gothic" w:hAnsi="Century Gothic"/>
          <w:sz w:val="24"/>
          <w:szCs w:val="24"/>
        </w:rPr>
        <w:t xml:space="preserve">concernent </w:t>
      </w:r>
      <w:r>
        <w:rPr>
          <w:rFonts w:ascii="Century Gothic" w:hAnsi="Century Gothic"/>
          <w:sz w:val="24"/>
          <w:szCs w:val="24"/>
        </w:rPr>
        <w:t xml:space="preserve">pas uniquement les riverains des cours d’eau : l’intégralité du territoire </w:t>
      </w:r>
      <w:r w:rsidR="005731AF" w:rsidRPr="005731AF">
        <w:rPr>
          <w:rFonts w:ascii="Century Gothic" w:hAnsi="Century Gothic"/>
          <w:sz w:val="24"/>
          <w:szCs w:val="24"/>
        </w:rPr>
        <w:t xml:space="preserve">serait </w:t>
      </w:r>
      <w:r w:rsidRPr="005731AF">
        <w:rPr>
          <w:rFonts w:ascii="Century Gothic" w:hAnsi="Century Gothic"/>
          <w:sz w:val="24"/>
          <w:szCs w:val="24"/>
        </w:rPr>
        <w:t>perturb</w:t>
      </w:r>
      <w:r>
        <w:rPr>
          <w:rFonts w:ascii="Century Gothic" w:hAnsi="Century Gothic"/>
          <w:sz w:val="24"/>
          <w:szCs w:val="24"/>
        </w:rPr>
        <w:t>ée en cas d’inondation majeure</w:t>
      </w:r>
      <w:r w:rsidR="005731AF" w:rsidRPr="005731AF">
        <w:rPr>
          <w:rFonts w:ascii="Century Gothic" w:hAnsi="Century Gothic"/>
          <w:sz w:val="24"/>
          <w:szCs w:val="24"/>
        </w:rPr>
        <w:t xml:space="preserve">, de par la présence d’établissements sensibles, de services publics et d’entreprises importante dans la zone inondable. </w:t>
      </w:r>
    </w:p>
    <w:p w:rsidR="006F6AEF" w:rsidRDefault="006F6AEF" w:rsidP="005731AF">
      <w:pPr>
        <w:jc w:val="both"/>
        <w:rPr>
          <w:rFonts w:ascii="Century Gothic" w:hAnsi="Century Gothic"/>
          <w:sz w:val="24"/>
          <w:szCs w:val="24"/>
        </w:rPr>
      </w:pPr>
    </w:p>
    <w:p w:rsidR="005731AF" w:rsidRDefault="005731AF" w:rsidP="005731AF">
      <w:pPr>
        <w:jc w:val="both"/>
        <w:rPr>
          <w:rFonts w:ascii="Century Gothic" w:hAnsi="Century Gothic"/>
          <w:sz w:val="24"/>
          <w:szCs w:val="24"/>
        </w:rPr>
      </w:pPr>
      <w:r w:rsidRPr="005731AF">
        <w:rPr>
          <w:rFonts w:ascii="Century Gothic" w:hAnsi="Century Gothic"/>
          <w:sz w:val="24"/>
          <w:szCs w:val="24"/>
        </w:rPr>
        <w:t>Ainsi, la politique menée par Troyes Champagne Métropole dans le cadre de sa compétence obligatoire appelée « </w:t>
      </w:r>
      <w:r w:rsidRPr="005731AF">
        <w:rPr>
          <w:rFonts w:ascii="Century Gothic" w:hAnsi="Century Gothic"/>
          <w:b/>
          <w:sz w:val="24"/>
          <w:szCs w:val="24"/>
        </w:rPr>
        <w:t xml:space="preserve">Gestion des milieux aquatiques et prévention des inondations </w:t>
      </w:r>
      <w:r w:rsidRPr="006F6AEF">
        <w:rPr>
          <w:rFonts w:ascii="Century Gothic" w:hAnsi="Century Gothic"/>
          <w:sz w:val="24"/>
          <w:szCs w:val="24"/>
        </w:rPr>
        <w:t xml:space="preserve">(GEMAPI) » </w:t>
      </w:r>
      <w:r w:rsidRPr="005731AF">
        <w:rPr>
          <w:rFonts w:ascii="Century Gothic" w:hAnsi="Century Gothic"/>
          <w:sz w:val="24"/>
          <w:szCs w:val="24"/>
        </w:rPr>
        <w:t xml:space="preserve">a pour but de réduire les conséquences négatives des crues pour l’ensemble des acteurs </w:t>
      </w:r>
      <w:r w:rsidR="006F6AEF">
        <w:rPr>
          <w:rFonts w:ascii="Century Gothic" w:hAnsi="Century Gothic"/>
          <w:sz w:val="24"/>
          <w:szCs w:val="24"/>
        </w:rPr>
        <w:t xml:space="preserve">et habitants </w:t>
      </w:r>
      <w:r w:rsidRPr="005731AF">
        <w:rPr>
          <w:rFonts w:ascii="Century Gothic" w:hAnsi="Century Gothic"/>
          <w:sz w:val="24"/>
          <w:szCs w:val="24"/>
        </w:rPr>
        <w:t>du territoire.</w:t>
      </w:r>
    </w:p>
    <w:p w:rsidR="005731AF" w:rsidRPr="005731AF" w:rsidRDefault="005731AF" w:rsidP="005731AF">
      <w:pPr>
        <w:jc w:val="both"/>
        <w:rPr>
          <w:rFonts w:ascii="Century Gothic" w:hAnsi="Century Gothic"/>
          <w:sz w:val="24"/>
          <w:szCs w:val="24"/>
        </w:rPr>
      </w:pPr>
    </w:p>
    <w:p w:rsidR="005731AF" w:rsidRPr="005731AF" w:rsidRDefault="005731AF" w:rsidP="005731AF">
      <w:pPr>
        <w:jc w:val="both"/>
        <w:rPr>
          <w:rFonts w:ascii="Century Gothic" w:hAnsi="Century Gothic"/>
          <w:sz w:val="24"/>
          <w:szCs w:val="24"/>
        </w:rPr>
      </w:pPr>
      <w:r w:rsidRPr="005731AF">
        <w:rPr>
          <w:rFonts w:ascii="Century Gothic" w:hAnsi="Century Gothic"/>
          <w:sz w:val="24"/>
          <w:szCs w:val="24"/>
        </w:rPr>
        <w:t>En réalité, cette politique comprend :</w:t>
      </w:r>
    </w:p>
    <w:p w:rsidR="005731AF" w:rsidRPr="005731AF" w:rsidRDefault="005731AF" w:rsidP="005731AF">
      <w:pPr>
        <w:pStyle w:val="Paragraphedeliste"/>
        <w:numPr>
          <w:ilvl w:val="0"/>
          <w:numId w:val="1"/>
        </w:numPr>
        <w:jc w:val="both"/>
        <w:rPr>
          <w:rFonts w:ascii="Century Gothic" w:hAnsi="Century Gothic"/>
          <w:sz w:val="24"/>
          <w:szCs w:val="24"/>
        </w:rPr>
      </w:pPr>
      <w:r w:rsidRPr="005731AF">
        <w:rPr>
          <w:rFonts w:ascii="Century Gothic" w:hAnsi="Century Gothic"/>
          <w:b/>
          <w:sz w:val="24"/>
          <w:szCs w:val="24"/>
        </w:rPr>
        <w:t>L’entretien régulier des cours d’eau</w:t>
      </w:r>
      <w:r w:rsidRPr="005731AF">
        <w:rPr>
          <w:rFonts w:ascii="Century Gothic" w:hAnsi="Century Gothic"/>
          <w:sz w:val="24"/>
          <w:szCs w:val="24"/>
        </w:rPr>
        <w:t>, à fréquence de cinq ans (hors évènement particulier), réalisé directement ou par un syndicat auquel Troyes Champagne Métropole adhère, ceci pour éviter des inondations trop fréquentes des terrains riverains des cours d’eau ;</w:t>
      </w:r>
    </w:p>
    <w:p w:rsidR="005731AF" w:rsidRPr="005731AF" w:rsidRDefault="005731AF" w:rsidP="005731AF">
      <w:pPr>
        <w:pStyle w:val="Paragraphedeliste"/>
        <w:numPr>
          <w:ilvl w:val="0"/>
          <w:numId w:val="1"/>
        </w:numPr>
        <w:jc w:val="both"/>
        <w:rPr>
          <w:rFonts w:ascii="Century Gothic" w:hAnsi="Century Gothic"/>
          <w:sz w:val="24"/>
          <w:szCs w:val="24"/>
        </w:rPr>
      </w:pPr>
      <w:r w:rsidRPr="005731AF">
        <w:rPr>
          <w:rFonts w:ascii="Century Gothic" w:hAnsi="Century Gothic"/>
          <w:b/>
          <w:sz w:val="24"/>
          <w:szCs w:val="24"/>
        </w:rPr>
        <w:t xml:space="preserve">La rénovation </w:t>
      </w:r>
      <w:r>
        <w:rPr>
          <w:rFonts w:ascii="Century Gothic" w:hAnsi="Century Gothic"/>
          <w:b/>
          <w:sz w:val="24"/>
          <w:szCs w:val="24"/>
        </w:rPr>
        <w:t xml:space="preserve">et l’entretien </w:t>
      </w:r>
      <w:r w:rsidRPr="005731AF">
        <w:rPr>
          <w:rFonts w:ascii="Century Gothic" w:hAnsi="Century Gothic"/>
          <w:b/>
          <w:sz w:val="24"/>
          <w:szCs w:val="24"/>
        </w:rPr>
        <w:t>des digues de l’agglomération</w:t>
      </w:r>
      <w:r w:rsidRPr="005731AF">
        <w:rPr>
          <w:rFonts w:ascii="Century Gothic" w:hAnsi="Century Gothic"/>
          <w:sz w:val="24"/>
          <w:szCs w:val="24"/>
        </w:rPr>
        <w:t xml:space="preserve">, pour assurer la sécurité des personnes qui vivent, travaillent, ou bénéficient des services </w:t>
      </w:r>
      <w:r w:rsidR="00810E59">
        <w:rPr>
          <w:rFonts w:ascii="Century Gothic" w:hAnsi="Century Gothic"/>
          <w:sz w:val="24"/>
          <w:szCs w:val="24"/>
        </w:rPr>
        <w:t>privés et publics</w:t>
      </w:r>
      <w:r w:rsidRPr="005731AF">
        <w:rPr>
          <w:rFonts w:ascii="Century Gothic" w:hAnsi="Century Gothic"/>
          <w:sz w:val="24"/>
          <w:szCs w:val="24"/>
        </w:rPr>
        <w:t xml:space="preserve"> dans la partie basse de l’agglomération ;</w:t>
      </w:r>
    </w:p>
    <w:p w:rsidR="005731AF" w:rsidRPr="005731AF" w:rsidRDefault="005731AF" w:rsidP="005731AF">
      <w:pPr>
        <w:pStyle w:val="Paragraphedeliste"/>
        <w:numPr>
          <w:ilvl w:val="0"/>
          <w:numId w:val="1"/>
        </w:numPr>
        <w:jc w:val="both"/>
        <w:rPr>
          <w:rFonts w:ascii="Century Gothic" w:hAnsi="Century Gothic"/>
          <w:sz w:val="24"/>
          <w:szCs w:val="24"/>
        </w:rPr>
      </w:pPr>
      <w:r w:rsidRPr="005731AF">
        <w:rPr>
          <w:rFonts w:ascii="Century Gothic" w:hAnsi="Century Gothic"/>
          <w:b/>
          <w:sz w:val="24"/>
          <w:szCs w:val="24"/>
        </w:rPr>
        <w:t>Les études nécessaires à l’élaboration des stratégies de gestion de crise</w:t>
      </w:r>
      <w:r w:rsidRPr="005731AF">
        <w:rPr>
          <w:rFonts w:ascii="Century Gothic" w:hAnsi="Century Gothic"/>
          <w:sz w:val="24"/>
          <w:szCs w:val="24"/>
        </w:rPr>
        <w:t xml:space="preserve"> pour limiter les dégâts dus à d’éventuelles crues supérieures à la capacité des ouvrages.</w:t>
      </w:r>
    </w:p>
    <w:p w:rsidR="005731AF" w:rsidRPr="005731AF" w:rsidRDefault="005731AF" w:rsidP="005731AF">
      <w:pPr>
        <w:jc w:val="both"/>
        <w:rPr>
          <w:rFonts w:ascii="Century Gothic" w:hAnsi="Century Gothic"/>
          <w:sz w:val="24"/>
          <w:szCs w:val="24"/>
        </w:rPr>
      </w:pPr>
    </w:p>
    <w:p w:rsidR="005731AF" w:rsidRDefault="005731AF" w:rsidP="005731AF">
      <w:pPr>
        <w:jc w:val="both"/>
        <w:rPr>
          <w:rFonts w:ascii="Century Gothic" w:hAnsi="Century Gothic"/>
          <w:sz w:val="24"/>
          <w:szCs w:val="24"/>
        </w:rPr>
      </w:pPr>
      <w:r w:rsidRPr="005731AF">
        <w:rPr>
          <w:rFonts w:ascii="Century Gothic" w:hAnsi="Century Gothic"/>
          <w:sz w:val="24"/>
          <w:szCs w:val="24"/>
        </w:rPr>
        <w:t>Pour ce faire, et pour assurer la pérennité de l’action, le Conseil Communautaire a mis en place la taxe pour la gestion des milieux aquatiques et la prévention des inondations, telle qu’autorisée par la Loi. Pour l’année 201</w:t>
      </w:r>
      <w:r>
        <w:rPr>
          <w:rFonts w:ascii="Century Gothic" w:hAnsi="Century Gothic"/>
          <w:sz w:val="24"/>
          <w:szCs w:val="24"/>
        </w:rPr>
        <w:t>8, son montant de 2 619 000€ a été utilisé de la manière suivante</w:t>
      </w:r>
      <w:r w:rsidR="001E10E2">
        <w:rPr>
          <w:rFonts w:ascii="Century Gothic" w:hAnsi="Century Gothic"/>
          <w:sz w:val="24"/>
          <w:szCs w:val="24"/>
        </w:rPr>
        <w:t xml:space="preserve"> (par ordre d’importance)</w:t>
      </w:r>
      <w:r>
        <w:rPr>
          <w:rFonts w:ascii="Century Gothic" w:hAnsi="Century Gothic"/>
          <w:sz w:val="24"/>
          <w:szCs w:val="24"/>
        </w:rPr>
        <w:t> :</w:t>
      </w:r>
    </w:p>
    <w:p w:rsidR="001E10E2" w:rsidRDefault="001E10E2" w:rsidP="005731AF">
      <w:pPr>
        <w:jc w:val="both"/>
        <w:rPr>
          <w:rFonts w:ascii="Century Gothic" w:hAnsi="Century Gothic"/>
          <w:sz w:val="24"/>
          <w:szCs w:val="24"/>
        </w:rPr>
      </w:pPr>
    </w:p>
    <w:p w:rsidR="001E10E2" w:rsidRDefault="001E10E2" w:rsidP="001E10E2">
      <w:pPr>
        <w:pStyle w:val="Paragraphedeliste"/>
        <w:numPr>
          <w:ilvl w:val="0"/>
          <w:numId w:val="1"/>
        </w:numPr>
        <w:jc w:val="both"/>
        <w:rPr>
          <w:rFonts w:ascii="Century Gothic" w:hAnsi="Century Gothic"/>
          <w:sz w:val="24"/>
          <w:szCs w:val="24"/>
        </w:rPr>
      </w:pPr>
      <w:r>
        <w:rPr>
          <w:rFonts w:ascii="Century Gothic" w:hAnsi="Century Gothic"/>
          <w:sz w:val="24"/>
          <w:szCs w:val="24"/>
        </w:rPr>
        <w:t xml:space="preserve">Travaux sur les digues : digue de </w:t>
      </w:r>
      <w:proofErr w:type="spellStart"/>
      <w:r>
        <w:rPr>
          <w:rFonts w:ascii="Century Gothic" w:hAnsi="Century Gothic"/>
          <w:sz w:val="24"/>
          <w:szCs w:val="24"/>
        </w:rPr>
        <w:t>Labourat</w:t>
      </w:r>
      <w:proofErr w:type="spellEnd"/>
      <w:r>
        <w:rPr>
          <w:rFonts w:ascii="Century Gothic" w:hAnsi="Century Gothic"/>
          <w:sz w:val="24"/>
          <w:szCs w:val="24"/>
        </w:rPr>
        <w:t>,</w:t>
      </w:r>
    </w:p>
    <w:p w:rsidR="001E10E2" w:rsidRDefault="001E10E2" w:rsidP="001E10E2">
      <w:pPr>
        <w:pStyle w:val="Paragraphedeliste"/>
        <w:numPr>
          <w:ilvl w:val="0"/>
          <w:numId w:val="1"/>
        </w:numPr>
        <w:jc w:val="both"/>
        <w:rPr>
          <w:rFonts w:ascii="Century Gothic" w:hAnsi="Century Gothic"/>
          <w:sz w:val="24"/>
          <w:szCs w:val="24"/>
        </w:rPr>
      </w:pPr>
      <w:r>
        <w:rPr>
          <w:rFonts w:ascii="Century Gothic" w:hAnsi="Century Gothic"/>
          <w:sz w:val="24"/>
          <w:szCs w:val="24"/>
        </w:rPr>
        <w:t>Entretien des cours d’eau,</w:t>
      </w:r>
    </w:p>
    <w:p w:rsidR="001E10E2" w:rsidRDefault="001E10E2" w:rsidP="001E10E2">
      <w:pPr>
        <w:pStyle w:val="Paragraphedeliste"/>
        <w:numPr>
          <w:ilvl w:val="0"/>
          <w:numId w:val="1"/>
        </w:numPr>
        <w:jc w:val="both"/>
        <w:rPr>
          <w:rFonts w:ascii="Century Gothic" w:hAnsi="Century Gothic"/>
          <w:sz w:val="24"/>
          <w:szCs w:val="24"/>
        </w:rPr>
      </w:pPr>
      <w:r>
        <w:rPr>
          <w:rFonts w:ascii="Century Gothic" w:hAnsi="Century Gothic"/>
          <w:sz w:val="24"/>
          <w:szCs w:val="24"/>
        </w:rPr>
        <w:t>Entretien des digues,</w:t>
      </w:r>
    </w:p>
    <w:p w:rsidR="001E10E2" w:rsidRPr="001E10E2" w:rsidRDefault="00810E59" w:rsidP="001E10E2">
      <w:pPr>
        <w:pStyle w:val="Paragraphedeliste"/>
        <w:numPr>
          <w:ilvl w:val="0"/>
          <w:numId w:val="1"/>
        </w:numPr>
        <w:jc w:val="both"/>
        <w:rPr>
          <w:rFonts w:ascii="Century Gothic" w:hAnsi="Century Gothic"/>
          <w:sz w:val="24"/>
          <w:szCs w:val="24"/>
        </w:rPr>
      </w:pPr>
      <w:r>
        <w:rPr>
          <w:rFonts w:ascii="Century Gothic" w:hAnsi="Century Gothic"/>
          <w:sz w:val="24"/>
          <w:szCs w:val="24"/>
        </w:rPr>
        <w:t>É</w:t>
      </w:r>
      <w:bookmarkStart w:id="0" w:name="_GoBack"/>
      <w:bookmarkEnd w:id="0"/>
      <w:r w:rsidR="001E10E2">
        <w:rPr>
          <w:rFonts w:ascii="Century Gothic" w:hAnsi="Century Gothic"/>
          <w:sz w:val="24"/>
          <w:szCs w:val="24"/>
        </w:rPr>
        <w:t>tudes liées aux travaux à venir.</w:t>
      </w:r>
    </w:p>
    <w:p w:rsidR="005731AF" w:rsidRPr="005731AF" w:rsidRDefault="005731AF" w:rsidP="005731AF">
      <w:pPr>
        <w:jc w:val="both"/>
        <w:rPr>
          <w:rFonts w:ascii="Century Gothic" w:hAnsi="Century Gothic"/>
          <w:sz w:val="24"/>
          <w:szCs w:val="24"/>
        </w:rPr>
      </w:pPr>
    </w:p>
    <w:p w:rsidR="00C132F5" w:rsidRPr="005731AF" w:rsidRDefault="00C132F5" w:rsidP="005731AF">
      <w:pPr>
        <w:jc w:val="both"/>
        <w:rPr>
          <w:sz w:val="24"/>
          <w:szCs w:val="24"/>
        </w:rPr>
      </w:pPr>
    </w:p>
    <w:sectPr w:rsidR="00C132F5" w:rsidRPr="00573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96E"/>
    <w:multiLevelType w:val="hybridMultilevel"/>
    <w:tmpl w:val="7A58F928"/>
    <w:lvl w:ilvl="0" w:tplc="165C3804">
      <w:numFmt w:val="bullet"/>
      <w:lvlText w:val="-"/>
      <w:lvlJc w:val="left"/>
      <w:pPr>
        <w:ind w:left="720" w:hanging="360"/>
      </w:pPr>
      <w:rPr>
        <w:rFonts w:ascii="Century Gothic" w:eastAsia="Calibr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AF"/>
    <w:rsid w:val="001E10E2"/>
    <w:rsid w:val="005731AF"/>
    <w:rsid w:val="006F6AEF"/>
    <w:rsid w:val="00810E59"/>
    <w:rsid w:val="00C13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A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1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A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1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Le Grand Troyes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Michaut Alex</dc:creator>
  <cp:lastModifiedBy>Naëma Tilhac</cp:lastModifiedBy>
  <cp:revision>2</cp:revision>
  <dcterms:created xsi:type="dcterms:W3CDTF">2018-09-18T16:31:00Z</dcterms:created>
  <dcterms:modified xsi:type="dcterms:W3CDTF">2018-09-18T16:31:00Z</dcterms:modified>
</cp:coreProperties>
</file>